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5" w:right="45" w:firstLine="450"/>
        <w:jc w:val="center"/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</w:rPr>
        <w:t>抽检商品不合格名单</w:t>
      </w:r>
    </w:p>
    <w:tbl>
      <w:tblPr>
        <w:tblW w:w="830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1234"/>
        <w:gridCol w:w="1089"/>
        <w:gridCol w:w="995"/>
        <w:gridCol w:w="570"/>
        <w:gridCol w:w="2087"/>
        <w:gridCol w:w="986"/>
        <w:gridCol w:w="110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抽检场所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标称生产单位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标称商标</w:t>
            </w:r>
          </w:p>
        </w:tc>
        <w:tc>
          <w:tcPr>
            <w:tcW w:w="2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格型号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不合格项目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报告编号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私房砖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宜昌市西陵区源胜建材商行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晋江磁灶茂兴陶瓷厂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捷美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150×150mm 40pcs/箱  吸水率：3%-6%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高清炫彩喷墨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伍家岗区金都市场21栋05号（杨正）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佛山市福罗伦陶瓷有限公司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利德福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型号：DW6502 600×600mm 4片/件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KW201804336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微晶镜面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伍家岗区金都市场21栋05号（杨正）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广东佛山市俊玛陶瓷有限公司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莱茵美陶瓷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300×600mm  型号：LY7704  8片/件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KW201804337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高清喷墨仿古砖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伍家岗区金都市场21栋05号（杨正）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佛山市家御陶瓷有限公司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格罗瑞亚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600×600×9.5 GA63012M 4片/件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KW201804339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炫彩喷墨釉面砖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宜昌市高新区林海源陶瓷经营部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佛山市高明王者陶瓷有限公司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王者陶瓷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240×660mm×10.5mm KAP-13119 9片/件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KW201804371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田园别墅砖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宜昌市锦屏贸易有限公司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佛山市盛世玛宝陶瓷有限公司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盛世玛宝陶瓷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M8804A 300×300 11片/pcs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吸水率（平均值）；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KW201804378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炫彩喷墨釉面砖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宜昌市高新区林海源陶瓷经营部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佛山市高明王者陶瓷有限公司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王者陶瓷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240×660mm×10.5mm KAP-13119 9片/件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断裂模数；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21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KW201810237</w:t>
            </w:r>
          </w:p>
        </w:tc>
      </w:tr>
    </w:tbl>
    <w:p>
      <w:pPr>
        <w:jc w:val="both"/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9"/>
          <w:sz w:val="24"/>
          <w:szCs w:val="24"/>
          <w:bdr w:val="none" w:color="auto" w:sz="0" w:space="0"/>
          <w:shd w:val="clear" w:fill="FEFE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2018-09-25T05:38:16Z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